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Pr="00B05E1A" w:rsidRDefault="00B05E1A" w:rsidP="00B05E1A">
      <w:pPr>
        <w:spacing w:before="100" w:beforeAutospacing="1" w:after="100" w:afterAutospacing="1" w:line="480" w:lineRule="auto"/>
        <w:jc w:val="center"/>
        <w:rPr>
          <w:rFonts w:ascii="Times New Roman" w:hAnsi="Times New Roman" w:cs="Times New Roman"/>
          <w:sz w:val="24"/>
          <w:szCs w:val="24"/>
        </w:rPr>
      </w:pPr>
      <w:r w:rsidRPr="00B05E1A">
        <w:rPr>
          <w:rFonts w:ascii="Times New Roman" w:hAnsi="Times New Roman" w:cs="Times New Roman"/>
          <w:sz w:val="24"/>
          <w:szCs w:val="24"/>
        </w:rPr>
        <w:t xml:space="preserve">HEALTH CARE </w:t>
      </w:r>
    </w:p>
    <w:p w:rsidR="00B05E1A" w:rsidRPr="00B05E1A" w:rsidRDefault="00B05E1A" w:rsidP="00B05E1A">
      <w:pPr>
        <w:spacing w:before="100" w:beforeAutospacing="1" w:after="100" w:afterAutospacing="1" w:line="480" w:lineRule="auto"/>
        <w:jc w:val="center"/>
        <w:rPr>
          <w:rFonts w:ascii="Times New Roman" w:hAnsi="Times New Roman" w:cs="Times New Roman"/>
          <w:sz w:val="24"/>
          <w:szCs w:val="24"/>
        </w:rPr>
      </w:pPr>
      <w:r w:rsidRPr="00B05E1A">
        <w:rPr>
          <w:rFonts w:ascii="Times New Roman" w:hAnsi="Times New Roman" w:cs="Times New Roman"/>
          <w:sz w:val="24"/>
          <w:szCs w:val="24"/>
        </w:rPr>
        <w:t>Name</w:t>
      </w:r>
    </w:p>
    <w:p w:rsidR="00B05E1A" w:rsidRPr="00B05E1A" w:rsidRDefault="00B05E1A" w:rsidP="00B05E1A">
      <w:pPr>
        <w:spacing w:before="100" w:beforeAutospacing="1" w:after="100" w:afterAutospacing="1" w:line="480" w:lineRule="auto"/>
        <w:jc w:val="center"/>
        <w:rPr>
          <w:rFonts w:ascii="Times New Roman" w:hAnsi="Times New Roman" w:cs="Times New Roman"/>
          <w:sz w:val="24"/>
          <w:szCs w:val="24"/>
        </w:rPr>
      </w:pPr>
      <w:r w:rsidRPr="00B05E1A">
        <w:rPr>
          <w:rFonts w:ascii="Times New Roman" w:hAnsi="Times New Roman" w:cs="Times New Roman"/>
          <w:sz w:val="24"/>
          <w:szCs w:val="24"/>
        </w:rPr>
        <w:t xml:space="preserve">Institution </w:t>
      </w:r>
    </w:p>
    <w:p w:rsidR="00B05E1A" w:rsidRPr="00B05E1A" w:rsidRDefault="00B05E1A" w:rsidP="00B05E1A">
      <w:pPr>
        <w:spacing w:before="100" w:beforeAutospacing="1" w:after="100" w:afterAutospacing="1" w:line="480" w:lineRule="auto"/>
        <w:jc w:val="center"/>
        <w:rPr>
          <w:rFonts w:ascii="Times New Roman" w:hAnsi="Times New Roman" w:cs="Times New Roman"/>
          <w:sz w:val="24"/>
          <w:szCs w:val="24"/>
        </w:rPr>
      </w:pPr>
      <w:r w:rsidRPr="00B05E1A">
        <w:rPr>
          <w:rFonts w:ascii="Times New Roman" w:hAnsi="Times New Roman" w:cs="Times New Roman"/>
          <w:sz w:val="24"/>
          <w:szCs w:val="24"/>
        </w:rPr>
        <w:t>Date</w:t>
      </w: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B05E1A" w:rsidRDefault="00B05E1A" w:rsidP="00B05E1A">
      <w:pPr>
        <w:spacing w:before="100" w:beforeAutospacing="1" w:after="100" w:afterAutospacing="1" w:line="480" w:lineRule="auto"/>
        <w:jc w:val="center"/>
        <w:rPr>
          <w:rFonts w:ascii="Times New Roman" w:hAnsi="Times New Roman" w:cs="Times New Roman"/>
          <w:b/>
          <w:sz w:val="24"/>
          <w:szCs w:val="24"/>
        </w:rPr>
      </w:pPr>
    </w:p>
    <w:p w:rsidR="007D7012" w:rsidRPr="00B05E1A" w:rsidRDefault="00B05E1A" w:rsidP="00B05E1A">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w:t>
      </w:r>
      <w:r w:rsidRPr="00B05E1A">
        <w:rPr>
          <w:rFonts w:ascii="Times New Roman" w:hAnsi="Times New Roman" w:cs="Times New Roman"/>
          <w:b/>
          <w:sz w:val="24"/>
          <w:szCs w:val="24"/>
        </w:rPr>
        <w:t>eak and trough concentration</w:t>
      </w:r>
    </w:p>
    <w:p w:rsidR="00283AAD" w:rsidRPr="00EB2D6A" w:rsidRDefault="008B0458" w:rsidP="00B05E1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235E50" w:rsidRPr="00EB2D6A">
        <w:rPr>
          <w:rFonts w:ascii="Times New Roman" w:hAnsi="Times New Roman" w:cs="Times New Roman"/>
          <w:sz w:val="24"/>
          <w:szCs w:val="24"/>
        </w:rPr>
        <w:t xml:space="preserve">Peak concentration is the state of maximum concentration of a drug in a patient’s plasma; this can only be reached when the administration is extravascular. It is achievable after hours and helps in estimation of the patient’s absorption rate. </w:t>
      </w:r>
      <w:r w:rsidR="00757C57" w:rsidRPr="00EB2D6A">
        <w:rPr>
          <w:rFonts w:ascii="Times New Roman" w:hAnsi="Times New Roman" w:cs="Times New Roman"/>
          <w:sz w:val="24"/>
          <w:szCs w:val="24"/>
        </w:rPr>
        <w:t xml:space="preserve">When issuing an oral dose, it is necessary to take peak measurements. A sample may be drawn about four hours after dosage to allow for slow release, or after two hours in regular form cases. </w:t>
      </w:r>
      <w:r w:rsidR="00235E50" w:rsidRPr="00EB2D6A">
        <w:rPr>
          <w:rFonts w:ascii="Times New Roman" w:hAnsi="Times New Roman" w:cs="Times New Roman"/>
          <w:sz w:val="24"/>
          <w:szCs w:val="24"/>
        </w:rPr>
        <w:t xml:space="preserve">On the other hand, a trough concentration refers to the least concentration level in a patients plasma reached by a drug before administering the dose. </w:t>
      </w:r>
      <w:r w:rsidR="001F22EC" w:rsidRPr="00EB2D6A">
        <w:rPr>
          <w:rFonts w:ascii="Times New Roman" w:hAnsi="Times New Roman" w:cs="Times New Roman"/>
          <w:sz w:val="24"/>
          <w:szCs w:val="24"/>
        </w:rPr>
        <w:t xml:space="preserve">As much as the peak concentration should not be exceeded, the trough concentration requires keen attention, this is because if the next dose is administered before the level is reached, </w:t>
      </w:r>
      <w:proofErr w:type="gramStart"/>
      <w:r w:rsidR="001F22EC" w:rsidRPr="00EB2D6A">
        <w:rPr>
          <w:rFonts w:ascii="Times New Roman" w:hAnsi="Times New Roman" w:cs="Times New Roman"/>
          <w:sz w:val="24"/>
          <w:szCs w:val="24"/>
        </w:rPr>
        <w:t>it</w:t>
      </w:r>
      <w:proofErr w:type="gramEnd"/>
      <w:r w:rsidR="001F22EC" w:rsidRPr="00EB2D6A">
        <w:rPr>
          <w:rFonts w:ascii="Times New Roman" w:hAnsi="Times New Roman" w:cs="Times New Roman"/>
          <w:sz w:val="24"/>
          <w:szCs w:val="24"/>
        </w:rPr>
        <w:t xml:space="preserve"> may have effects on the patient’s drug absorption system. </w:t>
      </w:r>
    </w:p>
    <w:p w:rsidR="001F22EC" w:rsidRPr="00EB2D6A" w:rsidRDefault="001F22EC"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tab/>
        <w:t xml:space="preserve">For adequate evaluation of the appropriate levels of dosage of most drugs, it is advisable to collect and </w:t>
      </w:r>
      <w:r w:rsidR="009C6FC5" w:rsidRPr="00EB2D6A">
        <w:rPr>
          <w:rFonts w:ascii="Times New Roman" w:hAnsi="Times New Roman" w:cs="Times New Roman"/>
          <w:sz w:val="24"/>
          <w:szCs w:val="24"/>
        </w:rPr>
        <w:t>test for peak and trough levels. T</w:t>
      </w:r>
      <w:r w:rsidR="00757C57" w:rsidRPr="00EB2D6A">
        <w:rPr>
          <w:rFonts w:ascii="Times New Roman" w:hAnsi="Times New Roman" w:cs="Times New Roman"/>
          <w:sz w:val="24"/>
          <w:szCs w:val="24"/>
        </w:rPr>
        <w:t>hera</w:t>
      </w:r>
      <w:r w:rsidR="009C6FC5" w:rsidRPr="00EB2D6A">
        <w:rPr>
          <w:rFonts w:ascii="Times New Roman" w:hAnsi="Times New Roman" w:cs="Times New Roman"/>
          <w:sz w:val="24"/>
          <w:szCs w:val="24"/>
        </w:rPr>
        <w:t>peu</w:t>
      </w:r>
      <w:r w:rsidR="00757C57" w:rsidRPr="00EB2D6A">
        <w:rPr>
          <w:rFonts w:ascii="Times New Roman" w:hAnsi="Times New Roman" w:cs="Times New Roman"/>
          <w:sz w:val="24"/>
          <w:szCs w:val="24"/>
        </w:rPr>
        <w:t>tic drug administration</w:t>
      </w:r>
      <w:r w:rsidR="009C6FC5" w:rsidRPr="00EB2D6A">
        <w:rPr>
          <w:rFonts w:ascii="Times New Roman" w:hAnsi="Times New Roman" w:cs="Times New Roman"/>
          <w:sz w:val="24"/>
          <w:szCs w:val="24"/>
        </w:rPr>
        <w:t xml:space="preserve"> and sample drawing is extensively discussed</w:t>
      </w:r>
      <w:r w:rsidR="00757C57" w:rsidRPr="00EB2D6A">
        <w:rPr>
          <w:rFonts w:ascii="Times New Roman" w:hAnsi="Times New Roman" w:cs="Times New Roman"/>
          <w:sz w:val="24"/>
          <w:szCs w:val="24"/>
        </w:rPr>
        <w:t xml:space="preserve"> i</w:t>
      </w:r>
      <w:r w:rsidR="00EF6AD5" w:rsidRPr="00EB2D6A">
        <w:rPr>
          <w:rFonts w:ascii="Times New Roman" w:hAnsi="Times New Roman" w:cs="Times New Roman"/>
          <w:sz w:val="24"/>
          <w:szCs w:val="24"/>
        </w:rPr>
        <w:t xml:space="preserve">n this </w:t>
      </w:r>
      <w:r w:rsidR="009C6FC5" w:rsidRPr="00EB2D6A">
        <w:rPr>
          <w:rFonts w:ascii="Times New Roman" w:hAnsi="Times New Roman" w:cs="Times New Roman"/>
          <w:sz w:val="24"/>
          <w:szCs w:val="24"/>
        </w:rPr>
        <w:t xml:space="preserve">paper. When administering Aminoglycosides such as Tobramycin and Gentamicin </w:t>
      </w:r>
      <w:r w:rsidR="00EF6AD5" w:rsidRPr="00EB2D6A">
        <w:rPr>
          <w:rFonts w:ascii="Times New Roman" w:hAnsi="Times New Roman" w:cs="Times New Roman"/>
          <w:sz w:val="24"/>
          <w:szCs w:val="24"/>
        </w:rPr>
        <w:t xml:space="preserve">it </w:t>
      </w:r>
      <w:r w:rsidR="009C6FC5" w:rsidRPr="00EB2D6A">
        <w:rPr>
          <w:rFonts w:ascii="Times New Roman" w:hAnsi="Times New Roman" w:cs="Times New Roman"/>
          <w:sz w:val="24"/>
          <w:szCs w:val="24"/>
        </w:rPr>
        <w:t>is necessary to collect the trough concentration just before the next dose is administered.</w:t>
      </w:r>
      <w:r w:rsidR="00EF6AD5" w:rsidRPr="00EB2D6A">
        <w:rPr>
          <w:rFonts w:ascii="Times New Roman" w:hAnsi="Times New Roman" w:cs="Times New Roman"/>
          <w:sz w:val="24"/>
          <w:szCs w:val="24"/>
        </w:rPr>
        <w:t xml:space="preserve"> In the case a therapy is needed, a trough sample can be drawn </w:t>
      </w:r>
      <w:r w:rsidR="001C6EE9" w:rsidRPr="00EB2D6A">
        <w:rPr>
          <w:rFonts w:ascii="Times New Roman" w:hAnsi="Times New Roman" w:cs="Times New Roman"/>
          <w:sz w:val="24"/>
          <w:szCs w:val="24"/>
        </w:rPr>
        <w:t>just before the next dose and the peak concentration about one hour from the injection</w:t>
      </w:r>
      <w:r w:rsidR="008B0458">
        <w:rPr>
          <w:rFonts w:ascii="Times New Roman" w:hAnsi="Times New Roman" w:cs="Times New Roman"/>
          <w:sz w:val="24"/>
          <w:szCs w:val="24"/>
        </w:rPr>
        <w:t xml:space="preserve"> (</w:t>
      </w:r>
      <w:proofErr w:type="spellStart"/>
      <w:r w:rsidR="008B0458">
        <w:rPr>
          <w:rFonts w:ascii="Times New Roman" w:hAnsi="Times New Roman" w:cs="Times New Roman"/>
          <w:sz w:val="24"/>
          <w:szCs w:val="24"/>
        </w:rPr>
        <w:t>Gosselin</w:t>
      </w:r>
      <w:proofErr w:type="spellEnd"/>
      <w:r w:rsidR="008B0458">
        <w:rPr>
          <w:rFonts w:ascii="Times New Roman" w:hAnsi="Times New Roman" w:cs="Times New Roman"/>
          <w:sz w:val="24"/>
          <w:szCs w:val="24"/>
        </w:rPr>
        <w:t xml:space="preserve"> et al. 2014).</w:t>
      </w:r>
      <w:r w:rsidR="00EF6AD5" w:rsidRPr="00EB2D6A">
        <w:rPr>
          <w:rFonts w:ascii="Times New Roman" w:hAnsi="Times New Roman" w:cs="Times New Roman"/>
          <w:sz w:val="24"/>
          <w:szCs w:val="24"/>
        </w:rPr>
        <w:t xml:space="preserve"> </w:t>
      </w:r>
      <w:r w:rsidR="009C6FC5" w:rsidRPr="00EB2D6A">
        <w:rPr>
          <w:rFonts w:ascii="Times New Roman" w:hAnsi="Times New Roman" w:cs="Times New Roman"/>
          <w:sz w:val="24"/>
          <w:szCs w:val="24"/>
        </w:rPr>
        <w:t>Before drawing the peak concentration, an infusion of about thirty minutes is advised followed by another thirty minutes waiting per</w:t>
      </w:r>
      <w:r w:rsidR="00EF6AD5" w:rsidRPr="00EB2D6A">
        <w:rPr>
          <w:rFonts w:ascii="Times New Roman" w:hAnsi="Times New Roman" w:cs="Times New Roman"/>
          <w:sz w:val="24"/>
          <w:szCs w:val="24"/>
        </w:rPr>
        <w:t>iod. In the event Carbamazepine, Phenytoin</w:t>
      </w:r>
      <w:r w:rsidR="00EB2D6A" w:rsidRPr="00EB2D6A">
        <w:rPr>
          <w:rFonts w:ascii="Times New Roman" w:hAnsi="Times New Roman" w:cs="Times New Roman"/>
          <w:sz w:val="24"/>
          <w:szCs w:val="24"/>
        </w:rPr>
        <w:t xml:space="preserve">, </w:t>
      </w:r>
      <w:proofErr w:type="spellStart"/>
      <w:r w:rsidR="00EF6AD5" w:rsidRPr="00EB2D6A">
        <w:rPr>
          <w:rFonts w:ascii="Times New Roman" w:hAnsi="Times New Roman" w:cs="Times New Roman"/>
          <w:sz w:val="24"/>
          <w:szCs w:val="24"/>
        </w:rPr>
        <w:t>Phenobarbitol</w:t>
      </w:r>
      <w:proofErr w:type="spellEnd"/>
      <w:r w:rsidR="00EF6AD5" w:rsidRPr="00EB2D6A">
        <w:rPr>
          <w:rFonts w:ascii="Times New Roman" w:hAnsi="Times New Roman" w:cs="Times New Roman"/>
          <w:sz w:val="24"/>
          <w:szCs w:val="24"/>
        </w:rPr>
        <w:t xml:space="preserve"> or Quinidine is to be administered, samples can be drawn after not long before the next dose is issued. </w:t>
      </w:r>
    </w:p>
    <w:p w:rsidR="001C6EE9" w:rsidRPr="00EB2D6A" w:rsidRDefault="001C6EE9"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lastRenderedPageBreak/>
        <w:tab/>
        <w:t xml:space="preserve">Theophylline can be administered through a number of ways. When the drug has to be infused, one should wait for thirty minutes after dose and keep re-sampling at intervals of between four to eight hours. If issued orally, it is necessary to draw a peak sample four hours after the dose to allow preparations for slow release. Lastly when dealing with </w:t>
      </w:r>
      <w:proofErr w:type="spellStart"/>
      <w:r w:rsidRPr="00EB2D6A">
        <w:rPr>
          <w:rFonts w:ascii="Times New Roman" w:hAnsi="Times New Roman" w:cs="Times New Roman"/>
          <w:sz w:val="24"/>
          <w:szCs w:val="24"/>
        </w:rPr>
        <w:t>Vancomycin</w:t>
      </w:r>
      <w:proofErr w:type="spellEnd"/>
      <w:r w:rsidRPr="00EB2D6A">
        <w:rPr>
          <w:rFonts w:ascii="Times New Roman" w:hAnsi="Times New Roman" w:cs="Times New Roman"/>
          <w:sz w:val="24"/>
          <w:szCs w:val="24"/>
        </w:rPr>
        <w:t xml:space="preserve">, </w:t>
      </w:r>
      <w:r w:rsidR="007D7012" w:rsidRPr="00EB2D6A">
        <w:rPr>
          <w:rFonts w:ascii="Times New Roman" w:hAnsi="Times New Roman" w:cs="Times New Roman"/>
          <w:sz w:val="24"/>
          <w:szCs w:val="24"/>
        </w:rPr>
        <w:t xml:space="preserve">the trough concentration sample can be drawn immediately before the next dose while for the peak concentration it is advisable to draw after one and half hours from IV infusion. </w:t>
      </w:r>
    </w:p>
    <w:p w:rsidR="007D7012" w:rsidRPr="00B05E1A" w:rsidRDefault="00B05E1A" w:rsidP="00B05E1A">
      <w:pPr>
        <w:spacing w:before="100" w:beforeAutospacing="1" w:after="100" w:afterAutospacing="1" w:line="480" w:lineRule="auto"/>
        <w:jc w:val="center"/>
        <w:rPr>
          <w:rFonts w:ascii="Times New Roman" w:hAnsi="Times New Roman" w:cs="Times New Roman"/>
          <w:b/>
          <w:sz w:val="24"/>
          <w:szCs w:val="24"/>
        </w:rPr>
      </w:pPr>
      <w:r w:rsidRPr="00B05E1A">
        <w:rPr>
          <w:rFonts w:ascii="Times New Roman" w:hAnsi="Times New Roman" w:cs="Times New Roman"/>
          <w:b/>
          <w:sz w:val="24"/>
          <w:szCs w:val="24"/>
        </w:rPr>
        <w:t>Serum drug levels</w:t>
      </w:r>
    </w:p>
    <w:p w:rsidR="007D7012" w:rsidRPr="00EB2D6A" w:rsidRDefault="00492EF7"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tab/>
        <w:t xml:space="preserve">Blood serum is described as the liquid part of the blood that contains no blood cells lacks clotting ability. </w:t>
      </w:r>
      <w:r w:rsidR="007D7012" w:rsidRPr="00EB2D6A">
        <w:rPr>
          <w:rFonts w:ascii="Times New Roman" w:hAnsi="Times New Roman" w:cs="Times New Roman"/>
          <w:sz w:val="24"/>
          <w:szCs w:val="24"/>
        </w:rPr>
        <w:t xml:space="preserve">Serum drug level refers to the concentration or amount of a given medication in an individual’s blood at the time (s) he gets tested. For some diseases, like the bipolar disorder, most of the medications used have a relatively small therapeutic window. </w:t>
      </w:r>
      <w:r w:rsidR="008A6547" w:rsidRPr="00EB2D6A">
        <w:rPr>
          <w:rFonts w:ascii="Times New Roman" w:hAnsi="Times New Roman" w:cs="Times New Roman"/>
          <w:sz w:val="24"/>
          <w:szCs w:val="24"/>
        </w:rPr>
        <w:t>Therapeutic window refers to the difference between a therapeutic level and a toxic level. If the serum drug level is toxic, there is danger of losing the individual’s life. For these levels to be determined, tests have to be done on the serum blood levels. Once the results are out, this window can be assessed and the most appropriate dosage for the particular medication can be issued. The therapeutic window differ</w:t>
      </w:r>
      <w:r w:rsidRPr="00EB2D6A">
        <w:rPr>
          <w:rFonts w:ascii="Times New Roman" w:hAnsi="Times New Roman" w:cs="Times New Roman"/>
          <w:sz w:val="24"/>
          <w:szCs w:val="24"/>
        </w:rPr>
        <w:t>s from one person to the other.</w:t>
      </w:r>
    </w:p>
    <w:p w:rsidR="00BF4953" w:rsidRPr="00EB2D6A" w:rsidRDefault="00492EF7"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tab/>
        <w:t xml:space="preserve">In the laboratory, when clinic attendants check for serum blood levels, </w:t>
      </w:r>
      <w:r w:rsidR="00BF4953" w:rsidRPr="00EB2D6A">
        <w:rPr>
          <w:rFonts w:ascii="Times New Roman" w:hAnsi="Times New Roman" w:cs="Times New Roman"/>
          <w:sz w:val="24"/>
          <w:szCs w:val="24"/>
        </w:rPr>
        <w:t>they are normally test</w:t>
      </w:r>
      <w:r w:rsidRPr="00EB2D6A">
        <w:rPr>
          <w:rFonts w:ascii="Times New Roman" w:hAnsi="Times New Roman" w:cs="Times New Roman"/>
          <w:sz w:val="24"/>
          <w:szCs w:val="24"/>
        </w:rPr>
        <w:t xml:space="preserve">ing for the lithium concentration in an individual’s bloodstream. The primary goal is to confirm whether the individual has been receiving the right medication or otherwise. Research has shown that the standard therapeutic range for lithium in a normal bloodstream has been stated to be 0.6 - </w:t>
      </w:r>
      <w:r w:rsidRPr="00EB2D6A">
        <w:rPr>
          <w:rFonts w:ascii="Times New Roman" w:hAnsi="Times New Roman" w:cs="Times New Roman"/>
          <w:sz w:val="24"/>
          <w:szCs w:val="24"/>
        </w:rPr>
        <w:lastRenderedPageBreak/>
        <w:t>1.2mmol/L</w:t>
      </w:r>
      <w:r w:rsidR="008B0458">
        <w:rPr>
          <w:rFonts w:ascii="Times New Roman" w:hAnsi="Times New Roman" w:cs="Times New Roman"/>
          <w:sz w:val="24"/>
          <w:szCs w:val="24"/>
        </w:rPr>
        <w:t xml:space="preserve"> (</w:t>
      </w:r>
      <w:proofErr w:type="spellStart"/>
      <w:r w:rsidR="008B0458">
        <w:rPr>
          <w:rFonts w:ascii="Times New Roman" w:hAnsi="Times New Roman" w:cs="Times New Roman"/>
          <w:sz w:val="24"/>
          <w:szCs w:val="24"/>
        </w:rPr>
        <w:t>Alsultan</w:t>
      </w:r>
      <w:proofErr w:type="spellEnd"/>
      <w:r w:rsidR="008B0458">
        <w:rPr>
          <w:rFonts w:ascii="Times New Roman" w:hAnsi="Times New Roman" w:cs="Times New Roman"/>
          <w:sz w:val="24"/>
          <w:szCs w:val="24"/>
        </w:rPr>
        <w:t xml:space="preserve"> et al. 2014)</w:t>
      </w:r>
      <w:r w:rsidRPr="00EB2D6A">
        <w:rPr>
          <w:rFonts w:ascii="Times New Roman" w:hAnsi="Times New Roman" w:cs="Times New Roman"/>
          <w:sz w:val="24"/>
          <w:szCs w:val="24"/>
        </w:rPr>
        <w:t xml:space="preserve">. At this level, individuals show </w:t>
      </w:r>
      <w:r w:rsidR="00D35656" w:rsidRPr="00EB2D6A">
        <w:rPr>
          <w:rFonts w:ascii="Times New Roman" w:hAnsi="Times New Roman" w:cs="Times New Roman"/>
          <w:sz w:val="24"/>
          <w:szCs w:val="24"/>
        </w:rPr>
        <w:t>no symptoms of toxicity when drugs are administered. Some patients respond differently to medication, away from the normal expectation; this may be caused by different sensitivity rate to lithium. Such patients require extra attention to ensure their safety I the sense that they have to be tracked to minimize side effects and avoid cases of medication turning to be toxic.</w:t>
      </w:r>
    </w:p>
    <w:p w:rsidR="00BF4953" w:rsidRPr="00EB2D6A" w:rsidRDefault="00D35656"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t xml:space="preserve"> </w:t>
      </w:r>
      <w:r w:rsidR="00BF4953" w:rsidRPr="00EB2D6A">
        <w:rPr>
          <w:rFonts w:ascii="Times New Roman" w:hAnsi="Times New Roman" w:cs="Times New Roman"/>
          <w:sz w:val="24"/>
          <w:szCs w:val="24"/>
        </w:rPr>
        <w:tab/>
      </w:r>
      <w:r w:rsidRPr="00EB2D6A">
        <w:rPr>
          <w:rFonts w:ascii="Times New Roman" w:hAnsi="Times New Roman" w:cs="Times New Roman"/>
          <w:sz w:val="24"/>
          <w:szCs w:val="24"/>
        </w:rPr>
        <w:t xml:space="preserve">If lithium treatment gets to the long-term, it is possible to end up being a chronic kidney disease. Due to this reason, </w:t>
      </w:r>
      <w:r w:rsidR="00BF4953" w:rsidRPr="00EB2D6A">
        <w:rPr>
          <w:rFonts w:ascii="Times New Roman" w:hAnsi="Times New Roman" w:cs="Times New Roman"/>
          <w:sz w:val="24"/>
          <w:szCs w:val="24"/>
        </w:rPr>
        <w:t xml:space="preserve">the treatment may be issued for bipolar disorder whereas the serum drug levels monitoring may be to ensure healthy kidneys. In addition to lithium, tests for magnesium, sodium, cholesterol levels may also be administered. Unexpected levels of these markers symbolize the risk of one suffering from chronic medical conditions. </w:t>
      </w:r>
    </w:p>
    <w:p w:rsidR="00EF6AD5" w:rsidRPr="00B05E1A" w:rsidRDefault="00B05E1A" w:rsidP="00B05E1A">
      <w:pPr>
        <w:spacing w:before="100" w:beforeAutospacing="1" w:after="100" w:afterAutospacing="1" w:line="480" w:lineRule="auto"/>
        <w:jc w:val="center"/>
        <w:rPr>
          <w:rFonts w:ascii="Times New Roman" w:hAnsi="Times New Roman" w:cs="Times New Roman"/>
          <w:b/>
          <w:sz w:val="24"/>
          <w:szCs w:val="24"/>
        </w:rPr>
      </w:pPr>
      <w:r w:rsidRPr="00B05E1A">
        <w:rPr>
          <w:rFonts w:ascii="Times New Roman" w:hAnsi="Times New Roman" w:cs="Times New Roman"/>
          <w:b/>
          <w:sz w:val="24"/>
          <w:szCs w:val="24"/>
        </w:rPr>
        <w:t>Procedure and results for peak and trough monitoring</w:t>
      </w:r>
    </w:p>
    <w:p w:rsidR="00AA2093" w:rsidRPr="00EB2D6A" w:rsidRDefault="00B50ADD"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tab/>
      </w:r>
      <w:r w:rsidR="00AA2093" w:rsidRPr="00EB2D6A">
        <w:rPr>
          <w:rFonts w:ascii="Times New Roman" w:hAnsi="Times New Roman" w:cs="Times New Roman"/>
          <w:sz w:val="24"/>
          <w:szCs w:val="24"/>
        </w:rPr>
        <w:t xml:space="preserve">Peak and Trough monitoring is an important exercise when treating therapeutic cancer. This process has few steps that can be easily followed but require a high level of commitment and concentration since people’s lives are on the fence. When an individual takes a dose of medication, the concentration of that drug rises to its peak and </w:t>
      </w:r>
      <w:r w:rsidRPr="00EB2D6A">
        <w:rPr>
          <w:rFonts w:ascii="Times New Roman" w:hAnsi="Times New Roman" w:cs="Times New Roman"/>
          <w:sz w:val="24"/>
          <w:szCs w:val="24"/>
        </w:rPr>
        <w:t>begins to fall after sometime until it reaches its trough. According to pre-established standard times when peak or trough is reached, doctors have to estimate the time after which to draw samples for laboratory tests; different drugs work differently in individuals. The lowest level is normally reached shortly before the following dose. Just before issuing the next dose, this is the best time to test for the trough level. To ensure safety, trough levels should remain within the therapeutic range.</w:t>
      </w:r>
    </w:p>
    <w:p w:rsidR="00BF4953" w:rsidRPr="00EB2D6A" w:rsidRDefault="00B50ADD"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lastRenderedPageBreak/>
        <w:tab/>
        <w:t xml:space="preserve">Therapeutic drug monitoring has many benefits to healthcare management. Firstly, it avoids toxicity by ensuring someone is always on the watch; this reduces the mortality rate.  Secondly, it helps identify </w:t>
      </w:r>
      <w:r w:rsidR="00DC6AD6" w:rsidRPr="00EB2D6A">
        <w:rPr>
          <w:rFonts w:ascii="Times New Roman" w:hAnsi="Times New Roman" w:cs="Times New Roman"/>
          <w:sz w:val="24"/>
          <w:szCs w:val="24"/>
        </w:rPr>
        <w:t xml:space="preserve">therapeutic failure in terms of non-compliance or even having taken a sub-therapeutic dose. Moreover, it helps identify drug abuse, drug toxicity and poisoning; this gives the chance for a change of dosage to ensure the most appropriate is administered. Thirdly, there is ease in </w:t>
      </w:r>
      <w:r w:rsidR="00EB2D6A" w:rsidRPr="00EB2D6A">
        <w:rPr>
          <w:rFonts w:ascii="Times New Roman" w:hAnsi="Times New Roman" w:cs="Times New Roman"/>
          <w:sz w:val="24"/>
          <w:szCs w:val="24"/>
        </w:rPr>
        <w:t>reaching the therapeutic effect where efficacy is achieved</w:t>
      </w:r>
      <w:r w:rsidR="008B0458">
        <w:rPr>
          <w:rFonts w:ascii="Times New Roman" w:hAnsi="Times New Roman" w:cs="Times New Roman"/>
          <w:sz w:val="24"/>
          <w:szCs w:val="24"/>
        </w:rPr>
        <w:t xml:space="preserve"> (</w:t>
      </w:r>
      <w:proofErr w:type="spellStart"/>
      <w:r w:rsidR="008B0458">
        <w:rPr>
          <w:rFonts w:ascii="Times New Roman" w:hAnsi="Times New Roman" w:cs="Times New Roman"/>
          <w:sz w:val="24"/>
          <w:szCs w:val="24"/>
        </w:rPr>
        <w:t>Gosselin</w:t>
      </w:r>
      <w:proofErr w:type="spellEnd"/>
      <w:r w:rsidR="008B0458">
        <w:rPr>
          <w:rFonts w:ascii="Times New Roman" w:hAnsi="Times New Roman" w:cs="Times New Roman"/>
          <w:sz w:val="24"/>
          <w:szCs w:val="24"/>
        </w:rPr>
        <w:t xml:space="preserve"> et al. 2014)</w:t>
      </w:r>
      <w:r w:rsidR="00EB2D6A" w:rsidRPr="00EB2D6A">
        <w:rPr>
          <w:rFonts w:ascii="Times New Roman" w:hAnsi="Times New Roman" w:cs="Times New Roman"/>
          <w:sz w:val="24"/>
          <w:szCs w:val="24"/>
        </w:rPr>
        <w:t xml:space="preserve">. </w:t>
      </w:r>
    </w:p>
    <w:p w:rsidR="00BF4953" w:rsidRPr="00EB2D6A" w:rsidRDefault="00BF4953" w:rsidP="00B05E1A">
      <w:pPr>
        <w:spacing w:before="100" w:beforeAutospacing="1" w:after="100" w:afterAutospacing="1" w:line="480" w:lineRule="auto"/>
        <w:jc w:val="both"/>
        <w:rPr>
          <w:rFonts w:ascii="Times New Roman" w:hAnsi="Times New Roman" w:cs="Times New Roman"/>
          <w:sz w:val="24"/>
          <w:szCs w:val="24"/>
        </w:rPr>
      </w:pPr>
    </w:p>
    <w:p w:rsidR="00EF6AD5" w:rsidRDefault="00EF6AD5" w:rsidP="00B05E1A">
      <w:pPr>
        <w:spacing w:before="100" w:beforeAutospacing="1" w:after="100" w:afterAutospacing="1" w:line="480" w:lineRule="auto"/>
        <w:jc w:val="both"/>
        <w:rPr>
          <w:rFonts w:ascii="Times New Roman" w:hAnsi="Times New Roman" w:cs="Times New Roman"/>
          <w:sz w:val="24"/>
          <w:szCs w:val="24"/>
        </w:rPr>
      </w:pPr>
      <w:r w:rsidRPr="00EB2D6A">
        <w:rPr>
          <w:rFonts w:ascii="Times New Roman" w:hAnsi="Times New Roman" w:cs="Times New Roman"/>
          <w:sz w:val="24"/>
          <w:szCs w:val="24"/>
        </w:rPr>
        <w:tab/>
      </w:r>
    </w:p>
    <w:p w:rsidR="00EB2D6A" w:rsidRDefault="00EB2D6A" w:rsidP="00B05E1A">
      <w:pPr>
        <w:spacing w:before="100" w:beforeAutospacing="1" w:after="100" w:afterAutospacing="1" w:line="480" w:lineRule="auto"/>
        <w:jc w:val="both"/>
        <w:rPr>
          <w:rFonts w:ascii="Times New Roman" w:hAnsi="Times New Roman" w:cs="Times New Roman"/>
          <w:sz w:val="24"/>
          <w:szCs w:val="24"/>
        </w:rPr>
      </w:pPr>
    </w:p>
    <w:p w:rsidR="00EB2D6A" w:rsidRDefault="00EB2D6A" w:rsidP="00B05E1A">
      <w:pPr>
        <w:spacing w:before="100" w:beforeAutospacing="1" w:after="100" w:afterAutospacing="1" w:line="480" w:lineRule="auto"/>
        <w:jc w:val="both"/>
        <w:rPr>
          <w:rFonts w:ascii="Times New Roman" w:hAnsi="Times New Roman" w:cs="Times New Roman"/>
          <w:sz w:val="24"/>
          <w:szCs w:val="24"/>
        </w:rPr>
      </w:pPr>
    </w:p>
    <w:p w:rsidR="00B05E1A" w:rsidRDefault="00B05E1A" w:rsidP="00B05E1A">
      <w:pPr>
        <w:spacing w:before="100" w:beforeAutospacing="1" w:after="100" w:afterAutospacing="1" w:line="480" w:lineRule="auto"/>
        <w:jc w:val="both"/>
        <w:rPr>
          <w:rFonts w:ascii="Times New Roman" w:hAnsi="Times New Roman" w:cs="Times New Roman"/>
          <w:sz w:val="24"/>
          <w:szCs w:val="24"/>
        </w:rPr>
      </w:pPr>
    </w:p>
    <w:p w:rsidR="00B05E1A" w:rsidRDefault="00B05E1A" w:rsidP="00B05E1A">
      <w:pPr>
        <w:spacing w:before="100" w:beforeAutospacing="1" w:after="100" w:afterAutospacing="1" w:line="480" w:lineRule="auto"/>
        <w:jc w:val="both"/>
        <w:rPr>
          <w:rFonts w:ascii="Times New Roman" w:hAnsi="Times New Roman" w:cs="Times New Roman"/>
          <w:sz w:val="24"/>
          <w:szCs w:val="24"/>
        </w:rPr>
      </w:pPr>
    </w:p>
    <w:p w:rsidR="00B05E1A" w:rsidRDefault="00B05E1A" w:rsidP="00B05E1A">
      <w:pPr>
        <w:spacing w:before="100" w:beforeAutospacing="1" w:after="100" w:afterAutospacing="1" w:line="480" w:lineRule="auto"/>
        <w:jc w:val="both"/>
        <w:rPr>
          <w:rFonts w:ascii="Times New Roman" w:hAnsi="Times New Roman" w:cs="Times New Roman"/>
          <w:sz w:val="24"/>
          <w:szCs w:val="24"/>
        </w:rPr>
      </w:pPr>
    </w:p>
    <w:p w:rsidR="00B05E1A" w:rsidRDefault="00B05E1A" w:rsidP="00B05E1A">
      <w:pPr>
        <w:spacing w:before="100" w:beforeAutospacing="1" w:after="100" w:afterAutospacing="1" w:line="480" w:lineRule="auto"/>
        <w:jc w:val="both"/>
        <w:rPr>
          <w:rFonts w:ascii="Times New Roman" w:hAnsi="Times New Roman" w:cs="Times New Roman"/>
          <w:sz w:val="24"/>
          <w:szCs w:val="24"/>
        </w:rPr>
      </w:pPr>
    </w:p>
    <w:p w:rsidR="00B05E1A" w:rsidRDefault="00B05E1A" w:rsidP="00B05E1A">
      <w:pPr>
        <w:spacing w:before="100" w:beforeAutospacing="1" w:after="100" w:afterAutospacing="1" w:line="480" w:lineRule="auto"/>
        <w:jc w:val="both"/>
        <w:rPr>
          <w:rFonts w:ascii="Times New Roman" w:hAnsi="Times New Roman" w:cs="Times New Roman"/>
          <w:sz w:val="24"/>
          <w:szCs w:val="24"/>
        </w:rPr>
      </w:pPr>
    </w:p>
    <w:p w:rsidR="00B05E1A" w:rsidRDefault="00B05E1A" w:rsidP="00B05E1A">
      <w:pPr>
        <w:spacing w:before="100" w:beforeAutospacing="1" w:after="100" w:afterAutospacing="1" w:line="480" w:lineRule="auto"/>
        <w:jc w:val="both"/>
        <w:rPr>
          <w:rFonts w:ascii="Times New Roman" w:hAnsi="Times New Roman" w:cs="Times New Roman"/>
          <w:sz w:val="24"/>
          <w:szCs w:val="24"/>
        </w:rPr>
      </w:pPr>
      <w:bookmarkStart w:id="0" w:name="_GoBack"/>
      <w:bookmarkEnd w:id="0"/>
    </w:p>
    <w:p w:rsidR="00EB2D6A" w:rsidRPr="008B0458" w:rsidRDefault="00EB2D6A" w:rsidP="00B05E1A">
      <w:pPr>
        <w:spacing w:before="100" w:beforeAutospacing="1" w:after="100" w:afterAutospacing="1" w:line="480" w:lineRule="auto"/>
        <w:jc w:val="center"/>
        <w:rPr>
          <w:rFonts w:ascii="Times New Roman" w:hAnsi="Times New Roman" w:cs="Times New Roman"/>
          <w:b/>
          <w:sz w:val="24"/>
          <w:szCs w:val="24"/>
        </w:rPr>
      </w:pPr>
      <w:r w:rsidRPr="008B0458">
        <w:rPr>
          <w:rFonts w:ascii="Times New Roman" w:hAnsi="Times New Roman" w:cs="Times New Roman"/>
          <w:b/>
          <w:sz w:val="24"/>
          <w:szCs w:val="24"/>
        </w:rPr>
        <w:lastRenderedPageBreak/>
        <w:t>R</w:t>
      </w:r>
      <w:r w:rsidR="00B05E1A">
        <w:rPr>
          <w:rFonts w:ascii="Times New Roman" w:hAnsi="Times New Roman" w:cs="Times New Roman"/>
          <w:b/>
          <w:sz w:val="24"/>
          <w:szCs w:val="24"/>
        </w:rPr>
        <w:t>eferences</w:t>
      </w:r>
    </w:p>
    <w:p w:rsidR="00EB2D6A" w:rsidRPr="008B0458" w:rsidRDefault="00EB2D6A" w:rsidP="00B05E1A">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proofErr w:type="spellStart"/>
      <w:r w:rsidRPr="008B0458">
        <w:rPr>
          <w:rFonts w:ascii="Times New Roman" w:hAnsi="Times New Roman" w:cs="Times New Roman"/>
          <w:color w:val="222222"/>
          <w:sz w:val="24"/>
          <w:szCs w:val="24"/>
          <w:shd w:val="clear" w:color="auto" w:fill="FFFFFF"/>
        </w:rPr>
        <w:t>Gosselin</w:t>
      </w:r>
      <w:proofErr w:type="spellEnd"/>
      <w:r w:rsidRPr="008B0458">
        <w:rPr>
          <w:rFonts w:ascii="Times New Roman" w:hAnsi="Times New Roman" w:cs="Times New Roman"/>
          <w:color w:val="222222"/>
          <w:sz w:val="24"/>
          <w:szCs w:val="24"/>
          <w:shd w:val="clear" w:color="auto" w:fill="FFFFFF"/>
        </w:rPr>
        <w:t xml:space="preserve">, R., Hawes, E., Moll, S., &amp; Adcock, D. (2014). Performance of various laboratory assays in the measurement of </w:t>
      </w:r>
      <w:proofErr w:type="spellStart"/>
      <w:r w:rsidRPr="008B0458">
        <w:rPr>
          <w:rFonts w:ascii="Times New Roman" w:hAnsi="Times New Roman" w:cs="Times New Roman"/>
          <w:color w:val="222222"/>
          <w:sz w:val="24"/>
          <w:szCs w:val="24"/>
          <w:shd w:val="clear" w:color="auto" w:fill="FFFFFF"/>
        </w:rPr>
        <w:t>dabigatran</w:t>
      </w:r>
      <w:proofErr w:type="spellEnd"/>
      <w:r w:rsidRPr="008B0458">
        <w:rPr>
          <w:rFonts w:ascii="Times New Roman" w:hAnsi="Times New Roman" w:cs="Times New Roman"/>
          <w:color w:val="222222"/>
          <w:sz w:val="24"/>
          <w:szCs w:val="24"/>
          <w:shd w:val="clear" w:color="auto" w:fill="FFFFFF"/>
        </w:rPr>
        <w:t xml:space="preserve"> in patients receiving therapeutic doses: a prospective study based on peak and trough plasma levels. </w:t>
      </w:r>
      <w:r w:rsidRPr="008B0458">
        <w:rPr>
          <w:rFonts w:ascii="Times New Roman" w:hAnsi="Times New Roman" w:cs="Times New Roman"/>
          <w:i/>
          <w:iCs/>
          <w:color w:val="222222"/>
          <w:sz w:val="24"/>
          <w:szCs w:val="24"/>
          <w:shd w:val="clear" w:color="auto" w:fill="FFFFFF"/>
        </w:rPr>
        <w:t>American journal of clinical pathology</w:t>
      </w:r>
      <w:r w:rsidRPr="008B0458">
        <w:rPr>
          <w:rFonts w:ascii="Times New Roman" w:hAnsi="Times New Roman" w:cs="Times New Roman"/>
          <w:color w:val="222222"/>
          <w:sz w:val="24"/>
          <w:szCs w:val="24"/>
          <w:shd w:val="clear" w:color="auto" w:fill="FFFFFF"/>
        </w:rPr>
        <w:t>, </w:t>
      </w:r>
      <w:r w:rsidRPr="008B0458">
        <w:rPr>
          <w:rFonts w:ascii="Times New Roman" w:hAnsi="Times New Roman" w:cs="Times New Roman"/>
          <w:i/>
          <w:iCs/>
          <w:color w:val="222222"/>
          <w:sz w:val="24"/>
          <w:szCs w:val="24"/>
          <w:shd w:val="clear" w:color="auto" w:fill="FFFFFF"/>
        </w:rPr>
        <w:t>141</w:t>
      </w:r>
      <w:r w:rsidRPr="008B0458">
        <w:rPr>
          <w:rFonts w:ascii="Times New Roman" w:hAnsi="Times New Roman" w:cs="Times New Roman"/>
          <w:color w:val="222222"/>
          <w:sz w:val="24"/>
          <w:szCs w:val="24"/>
          <w:shd w:val="clear" w:color="auto" w:fill="FFFFFF"/>
        </w:rPr>
        <w:t>(2), 262-267.</w:t>
      </w:r>
    </w:p>
    <w:p w:rsidR="00EB2D6A" w:rsidRPr="008B0458" w:rsidRDefault="00EB2D6A" w:rsidP="00B05E1A">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proofErr w:type="spellStart"/>
      <w:r w:rsidRPr="008B0458">
        <w:rPr>
          <w:rFonts w:ascii="Times New Roman" w:hAnsi="Times New Roman" w:cs="Times New Roman"/>
          <w:color w:val="222222"/>
          <w:sz w:val="24"/>
          <w:szCs w:val="24"/>
          <w:shd w:val="clear" w:color="auto" w:fill="FFFFFF"/>
        </w:rPr>
        <w:t>Alsultan</w:t>
      </w:r>
      <w:proofErr w:type="spellEnd"/>
      <w:r w:rsidRPr="008B0458">
        <w:rPr>
          <w:rFonts w:ascii="Times New Roman" w:hAnsi="Times New Roman" w:cs="Times New Roman"/>
          <w:color w:val="222222"/>
          <w:sz w:val="24"/>
          <w:szCs w:val="24"/>
          <w:shd w:val="clear" w:color="auto" w:fill="FFFFFF"/>
        </w:rPr>
        <w:t xml:space="preserve">, A., &amp; </w:t>
      </w:r>
      <w:proofErr w:type="spellStart"/>
      <w:r w:rsidRPr="008B0458">
        <w:rPr>
          <w:rFonts w:ascii="Times New Roman" w:hAnsi="Times New Roman" w:cs="Times New Roman"/>
          <w:color w:val="222222"/>
          <w:sz w:val="24"/>
          <w:szCs w:val="24"/>
          <w:shd w:val="clear" w:color="auto" w:fill="FFFFFF"/>
        </w:rPr>
        <w:t>Peloquin</w:t>
      </w:r>
      <w:proofErr w:type="spellEnd"/>
      <w:r w:rsidRPr="008B0458">
        <w:rPr>
          <w:rFonts w:ascii="Times New Roman" w:hAnsi="Times New Roman" w:cs="Times New Roman"/>
          <w:color w:val="222222"/>
          <w:sz w:val="24"/>
          <w:szCs w:val="24"/>
          <w:shd w:val="clear" w:color="auto" w:fill="FFFFFF"/>
        </w:rPr>
        <w:t>, C. A. (2014). Therapeutic drug monitoring in the treatment of tuberculosis: an update. </w:t>
      </w:r>
      <w:r w:rsidRPr="008B0458">
        <w:rPr>
          <w:rFonts w:ascii="Times New Roman" w:hAnsi="Times New Roman" w:cs="Times New Roman"/>
          <w:i/>
          <w:iCs/>
          <w:color w:val="222222"/>
          <w:sz w:val="24"/>
          <w:szCs w:val="24"/>
          <w:shd w:val="clear" w:color="auto" w:fill="FFFFFF"/>
        </w:rPr>
        <w:t>Drugs</w:t>
      </w:r>
      <w:r w:rsidRPr="008B0458">
        <w:rPr>
          <w:rFonts w:ascii="Times New Roman" w:hAnsi="Times New Roman" w:cs="Times New Roman"/>
          <w:color w:val="222222"/>
          <w:sz w:val="24"/>
          <w:szCs w:val="24"/>
          <w:shd w:val="clear" w:color="auto" w:fill="FFFFFF"/>
        </w:rPr>
        <w:t>, </w:t>
      </w:r>
      <w:r w:rsidRPr="008B0458">
        <w:rPr>
          <w:rFonts w:ascii="Times New Roman" w:hAnsi="Times New Roman" w:cs="Times New Roman"/>
          <w:i/>
          <w:iCs/>
          <w:color w:val="222222"/>
          <w:sz w:val="24"/>
          <w:szCs w:val="24"/>
          <w:shd w:val="clear" w:color="auto" w:fill="FFFFFF"/>
        </w:rPr>
        <w:t>74</w:t>
      </w:r>
      <w:r w:rsidRPr="008B0458">
        <w:rPr>
          <w:rFonts w:ascii="Times New Roman" w:hAnsi="Times New Roman" w:cs="Times New Roman"/>
          <w:color w:val="222222"/>
          <w:sz w:val="24"/>
          <w:szCs w:val="24"/>
          <w:shd w:val="clear" w:color="auto" w:fill="FFFFFF"/>
        </w:rPr>
        <w:t>(8), 839-854.</w:t>
      </w:r>
    </w:p>
    <w:p w:rsidR="00EB2D6A" w:rsidRPr="008B0458" w:rsidRDefault="00EB2D6A" w:rsidP="00B05E1A">
      <w:pPr>
        <w:spacing w:before="100" w:beforeAutospacing="1" w:after="100" w:afterAutospacing="1" w:line="480" w:lineRule="auto"/>
        <w:jc w:val="both"/>
        <w:rPr>
          <w:rFonts w:ascii="Times New Roman" w:hAnsi="Times New Roman" w:cs="Times New Roman"/>
          <w:sz w:val="24"/>
          <w:szCs w:val="24"/>
        </w:rPr>
      </w:pPr>
    </w:p>
    <w:sectPr w:rsidR="00EB2D6A" w:rsidRPr="008B0458" w:rsidSect="00B05E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42C" w:rsidRDefault="0061142C" w:rsidP="00235E50">
      <w:pPr>
        <w:spacing w:after="0" w:line="240" w:lineRule="auto"/>
      </w:pPr>
      <w:r>
        <w:separator/>
      </w:r>
    </w:p>
  </w:endnote>
  <w:endnote w:type="continuationSeparator" w:id="0">
    <w:p w:rsidR="0061142C" w:rsidRDefault="0061142C" w:rsidP="0023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42C" w:rsidRDefault="0061142C" w:rsidP="00235E50">
      <w:pPr>
        <w:spacing w:after="0" w:line="240" w:lineRule="auto"/>
      </w:pPr>
      <w:r>
        <w:separator/>
      </w:r>
    </w:p>
  </w:footnote>
  <w:footnote w:type="continuationSeparator" w:id="0">
    <w:p w:rsidR="0061142C" w:rsidRDefault="0061142C" w:rsidP="00235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E1A" w:rsidRPr="00B05E1A" w:rsidRDefault="00B05E1A" w:rsidP="00B05E1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HEALTH CARE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04122372"/>
        <w:docPartObj>
          <w:docPartGallery w:val="Page Numbers (Top of Page)"/>
          <w:docPartUnique/>
        </w:docPartObj>
      </w:sdtPr>
      <w:sdtEndPr>
        <w:rPr>
          <w:noProof/>
        </w:rPr>
      </w:sdtEndPr>
      <w:sdtContent>
        <w:r w:rsidRPr="00B05E1A">
          <w:rPr>
            <w:rFonts w:ascii="Times New Roman" w:hAnsi="Times New Roman" w:cs="Times New Roman"/>
            <w:sz w:val="24"/>
            <w:szCs w:val="24"/>
          </w:rPr>
          <w:fldChar w:fldCharType="begin"/>
        </w:r>
        <w:r w:rsidRPr="00B05E1A">
          <w:rPr>
            <w:rFonts w:ascii="Times New Roman" w:hAnsi="Times New Roman" w:cs="Times New Roman"/>
            <w:sz w:val="24"/>
            <w:szCs w:val="24"/>
          </w:rPr>
          <w:instrText xml:space="preserve"> PAGE   \* MERGEFORMAT </w:instrText>
        </w:r>
        <w:r w:rsidRPr="00B05E1A">
          <w:rPr>
            <w:rFonts w:ascii="Times New Roman" w:hAnsi="Times New Roman" w:cs="Times New Roman"/>
            <w:sz w:val="24"/>
            <w:szCs w:val="24"/>
          </w:rPr>
          <w:fldChar w:fldCharType="separate"/>
        </w:r>
        <w:r>
          <w:rPr>
            <w:rFonts w:ascii="Times New Roman" w:hAnsi="Times New Roman" w:cs="Times New Roman"/>
            <w:noProof/>
            <w:sz w:val="24"/>
            <w:szCs w:val="24"/>
          </w:rPr>
          <w:t>6</w:t>
        </w:r>
        <w:r w:rsidRPr="00B05E1A">
          <w:rPr>
            <w:rFonts w:ascii="Times New Roman" w:hAnsi="Times New Roman" w:cs="Times New Roman"/>
            <w:noProof/>
            <w:sz w:val="24"/>
            <w:szCs w:val="24"/>
          </w:rPr>
          <w:fldChar w:fldCharType="end"/>
        </w:r>
      </w:sdtContent>
    </w:sdt>
  </w:p>
  <w:p w:rsidR="00B05E1A" w:rsidRPr="00B05E1A" w:rsidRDefault="00B05E1A" w:rsidP="00B05E1A">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E1A" w:rsidRPr="00B05E1A" w:rsidRDefault="00B05E1A" w:rsidP="00B05E1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 CARE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86352915"/>
        <w:docPartObj>
          <w:docPartGallery w:val="Page Numbers (Top of Page)"/>
          <w:docPartUnique/>
        </w:docPartObj>
      </w:sdtPr>
      <w:sdtEndPr>
        <w:rPr>
          <w:noProof/>
        </w:rPr>
      </w:sdtEndPr>
      <w:sdtContent>
        <w:r w:rsidRPr="00B05E1A">
          <w:rPr>
            <w:rFonts w:ascii="Times New Roman" w:hAnsi="Times New Roman" w:cs="Times New Roman"/>
            <w:sz w:val="24"/>
            <w:szCs w:val="24"/>
          </w:rPr>
          <w:fldChar w:fldCharType="begin"/>
        </w:r>
        <w:r w:rsidRPr="00B05E1A">
          <w:rPr>
            <w:rFonts w:ascii="Times New Roman" w:hAnsi="Times New Roman" w:cs="Times New Roman"/>
            <w:sz w:val="24"/>
            <w:szCs w:val="24"/>
          </w:rPr>
          <w:instrText xml:space="preserve"> PAGE   \* MERGEFORMAT </w:instrText>
        </w:r>
        <w:r w:rsidRPr="00B05E1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05E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50"/>
    <w:rsid w:val="001C6EE9"/>
    <w:rsid w:val="001F22EC"/>
    <w:rsid w:val="00235E50"/>
    <w:rsid w:val="00492EF7"/>
    <w:rsid w:val="0061142C"/>
    <w:rsid w:val="00624FB9"/>
    <w:rsid w:val="00757C57"/>
    <w:rsid w:val="007D7012"/>
    <w:rsid w:val="008A6547"/>
    <w:rsid w:val="008B0458"/>
    <w:rsid w:val="009B3BBA"/>
    <w:rsid w:val="009C6FC5"/>
    <w:rsid w:val="00AA2093"/>
    <w:rsid w:val="00B05E1A"/>
    <w:rsid w:val="00B50ADD"/>
    <w:rsid w:val="00BF4953"/>
    <w:rsid w:val="00D35656"/>
    <w:rsid w:val="00DC6AD6"/>
    <w:rsid w:val="00EB2D6A"/>
    <w:rsid w:val="00EF6AD5"/>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69998C-FA16-47C2-AA9D-EB73A27B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E50"/>
  </w:style>
  <w:style w:type="paragraph" w:styleId="Footer">
    <w:name w:val="footer"/>
    <w:basedOn w:val="Normal"/>
    <w:link w:val="FooterChar"/>
    <w:uiPriority w:val="99"/>
    <w:unhideWhenUsed/>
    <w:rsid w:val="00235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6</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2</cp:revision>
  <dcterms:created xsi:type="dcterms:W3CDTF">2018-11-21T22:43:00Z</dcterms:created>
  <dcterms:modified xsi:type="dcterms:W3CDTF">2018-11-21T17:36:00Z</dcterms:modified>
</cp:coreProperties>
</file>